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812B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Հաստատում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եմ</w:t>
      </w:r>
      <w:r>
        <w:rPr>
          <w:rFonts w:ascii="GHEA Grapalat" w:hAnsi="GHEA Grapalat" w:cs="Sylfaen"/>
          <w:sz w:val="22"/>
          <w:szCs w:val="22"/>
          <w:lang w:val="ro-RO"/>
        </w:rPr>
        <w:t>`</w:t>
      </w:r>
    </w:p>
    <w:p w14:paraId="2844C359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պատասխանատու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ստորաբաժանման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ղեկավար՝</w:t>
      </w:r>
    </w:p>
    <w:p w14:paraId="2EDC825D">
      <w:pPr>
        <w:jc w:val="right"/>
        <w:rPr>
          <w:rFonts w:ascii="GHEA Grapalat" w:hAnsi="GHEA Grapalat" w:cs="Sylfaen"/>
          <w:sz w:val="8"/>
          <w:szCs w:val="22"/>
          <w:lang w:val="ro-RO"/>
        </w:rPr>
      </w:pPr>
    </w:p>
    <w:p w14:paraId="46534D7A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>__________________</w:t>
      </w:r>
    </w:p>
    <w:p w14:paraId="18D5BBF6">
      <w:pPr>
        <w:jc w:val="center"/>
        <w:rPr>
          <w:rFonts w:ascii="GHEA Grapalat" w:hAnsi="GHEA Grapalat"/>
          <w:sz w:val="1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 xml:space="preserve">  </w:t>
      </w:r>
    </w:p>
    <w:p w14:paraId="1989B06D">
      <w:pPr>
        <w:jc w:val="right"/>
        <w:rPr>
          <w:rFonts w:ascii="GHEA Grapalat" w:hAnsi="GHEA Grapalat"/>
          <w:sz w:val="22"/>
          <w:szCs w:val="22"/>
          <w:lang w:val="ro-RO"/>
        </w:rPr>
      </w:pPr>
      <w:r>
        <w:rPr>
          <w:rFonts w:ascii="GHEA Grapalat" w:hAnsi="GHEA Grapalat"/>
          <w:sz w:val="22"/>
          <w:szCs w:val="22"/>
          <w:lang w:val="ro-RO"/>
        </w:rPr>
        <w:t>«____» «__________» 2025</w:t>
      </w:r>
      <w:r>
        <w:rPr>
          <w:rFonts w:ascii="GHEA Grapalat" w:hAnsi="GHEA Grapalat" w:cs="Sylfaen"/>
          <w:sz w:val="22"/>
          <w:szCs w:val="22"/>
        </w:rPr>
        <w:t>թ</w:t>
      </w:r>
    </w:p>
    <w:p w14:paraId="1690703E">
      <w:pPr>
        <w:jc w:val="center"/>
        <w:rPr>
          <w:rFonts w:ascii="GHEA Grapalat" w:hAnsi="GHEA Grapalat"/>
          <w:b/>
        </w:rPr>
      </w:pPr>
    </w:p>
    <w:p w14:paraId="6427D49E">
      <w:pPr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Տեխնիկական բնութագիր</w:t>
      </w:r>
    </w:p>
    <w:p w14:paraId="67149A39">
      <w:pPr>
        <w:jc w:val="center"/>
        <w:rPr>
          <w:rFonts w:ascii="GHEA Grapalat" w:hAnsi="GHEA Grapalat"/>
        </w:rPr>
      </w:pPr>
    </w:p>
    <w:tbl>
      <w:tblPr>
        <w:tblStyle w:val="4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1"/>
      </w:tblGrid>
      <w:tr w14:paraId="77E7C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2" w:hRule="atLeast"/>
          <w:jc w:val="center"/>
        </w:trPr>
        <w:tc>
          <w:tcPr>
            <w:tcW w:w="10201" w:type="dxa"/>
          </w:tcPr>
          <w:p w14:paraId="19414459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Ալավերդի համայնքի</w:t>
            </w:r>
            <w:r>
              <w:rPr>
                <w:rFonts w:hint="default" w:ascii="GHEA Grapalat" w:hAnsi="GHEA Grapalat" w:cs="Sylfae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>Ալավերդի</w:t>
            </w:r>
            <w:r>
              <w:rPr>
                <w:rFonts w:hint="default" w:ascii="GHEA Grapalat" w:hAnsi="GHEA Grapalat"/>
                <w:b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 և Ախթալա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>քաղաքների</w:t>
            </w:r>
            <w:r>
              <w:rPr>
                <w:rFonts w:hint="default" w:ascii="GHEA Grapalat" w:hAnsi="GHEA Grapalat"/>
                <w:b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>, Աքորի, Ծաղկաշատ,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 Թեղուտ</w:t>
            </w:r>
            <w:r>
              <w:rPr>
                <w:rFonts w:hint="default" w:ascii="GHEA Grapalat" w:hAnsi="GHEA Grapalat"/>
                <w:b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, Շնող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գյուղերի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փողոցների ասֆալտապատման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 աշխատանքների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նախագծանախահաշվային փաստաթղթերի կազմման ծառայություն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ձեռքբերում</w:t>
            </w:r>
          </w:p>
        </w:tc>
      </w:tr>
      <w:tr w14:paraId="3523F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2" w:hRule="atLeast"/>
          <w:jc w:val="center"/>
        </w:trPr>
        <w:tc>
          <w:tcPr>
            <w:tcW w:w="10201" w:type="dxa"/>
          </w:tcPr>
          <w:p w14:paraId="11FBEDC5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Style w:val="4"/>
              <w:tblW w:w="10105" w:type="dxa"/>
              <w:tblInd w:w="29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22"/>
              <w:gridCol w:w="7682"/>
              <w:gridCol w:w="301"/>
            </w:tblGrid>
            <w:tr w14:paraId="47C7292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8DD503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2D5C44C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14:paraId="5F64B7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01" w:type="dxa"/>
                <w:trHeight w:val="199" w:hRule="atLeast"/>
              </w:trPr>
              <w:tc>
                <w:tcPr>
                  <w:tcW w:w="2122" w:type="dxa"/>
                </w:tcPr>
                <w:p w14:paraId="3E81E8F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8D285D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14:paraId="50921A3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5DDF79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1F71172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14:paraId="184E305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01" w:type="dxa"/>
                <w:trHeight w:val="359" w:hRule="atLeast"/>
              </w:trPr>
              <w:tc>
                <w:tcPr>
                  <w:tcW w:w="2122" w:type="dxa"/>
                </w:tcPr>
                <w:p w14:paraId="1003C0A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B020A3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14:paraId="2CF608A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AA0CC4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55C97764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  <w14:textFill>
                        <w14:solidFill>
                          <w14:schemeClr w14:val="tx1"/>
                        </w14:solidFill>
                      </w14:textFill>
                    </w:rPr>
                    <w:t>Ալավերդու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 համայնքապետարան</w:t>
                  </w:r>
                </w:p>
              </w:tc>
            </w:tr>
            <w:tr w14:paraId="26DA726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5B5BF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86E9F19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14:paraId="0B91B11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color="auto" w:sz="4" w:space="0"/>
                  </w:tcBorders>
                </w:tcPr>
                <w:p w14:paraId="2563979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color="auto" w:sz="4" w:space="0"/>
                  </w:tcBorders>
                </w:tcPr>
                <w:p w14:paraId="78BC0C5E">
                  <w:pPr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  <w14:textFill>
                        <w14:solidFill>
                          <w14:schemeClr w14:val="tx1"/>
                        </w14:solidFill>
                      </w14:textFill>
                    </w:rPr>
                    <w:t>Ալավերդի համայնքի Ալավերդի</w:t>
                  </w:r>
                  <w:r>
                    <w:rPr>
                      <w:rFonts w:hint="default"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և Ախթալա </w:t>
                  </w:r>
                  <w:r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  <w14:textFill>
                        <w14:solidFill>
                          <w14:schemeClr w14:val="tx1"/>
                        </w14:solidFill>
                      </w14:textFill>
                    </w:rPr>
                    <w:t>քաղաքների</w:t>
                  </w:r>
                  <w:r>
                    <w:rPr>
                      <w:rFonts w:hint="default"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  <w14:textFill>
                        <w14:solidFill>
                          <w14:schemeClr w14:val="tx1"/>
                        </w14:solidFill>
                      </w14:textFill>
                    </w:rPr>
                    <w:t>, Աքորի, Ծաղկաշատ,</w:t>
                  </w:r>
                  <w:r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Թեղուտ</w:t>
                  </w:r>
                  <w:r>
                    <w:rPr>
                      <w:rFonts w:hint="default"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, Շնող </w:t>
                  </w:r>
                  <w:r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  <w14:textFill>
                        <w14:solidFill>
                          <w14:schemeClr w14:val="tx1"/>
                        </w14:solidFill>
                      </w14:textFill>
                    </w:rPr>
                    <w:t>գյուղերի փողոցների ասֆալտապատման  աշխատանքների նախագծանախահաշվային փաստաթղթերի կազմման և խորհրդատվական կազմմանծառայություններ</w:t>
                  </w:r>
                </w:p>
                <w:p w14:paraId="6133640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14:paraId="576AF57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01" w:type="dxa"/>
                <w:trHeight w:val="2385" w:hRule="atLeast"/>
              </w:trPr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F42C66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14:paraId="6FC2F0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</w:tcPr>
                <w:p w14:paraId="3CFD6338">
                  <w:pPr>
                    <w:jc w:val="both"/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  <w14:textFill>
                        <w14:solidFill>
                          <w14:schemeClr w14:val="tx1"/>
                        </w14:solidFill>
                      </w14:textFill>
                    </w:rPr>
                    <w:t>Ալավերդի քաղաքի և նշված բնակավայրերի փողոցներ</w:t>
                  </w:r>
                </w:p>
                <w:p w14:paraId="30D9DF2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Ճանապարհի կարգը –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ներհամայքային, ներբակային ճանապարհ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14:paraId="31523F4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3B530A92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Երթևեկելի մասի լայնությունը – 3-7 մ,</w:t>
                  </w:r>
                </w:p>
                <w:p w14:paraId="7BC9533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758A261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Մայթերի առկայությունը և լայնությունը -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համաձայնեցնել պատվիրատուի հետ</w:t>
                  </w:r>
                </w:p>
                <w:p w14:paraId="4FE43AB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ռիսկայնության աստիճանը - III,</w:t>
                  </w:r>
                </w:p>
                <w:p w14:paraId="723FE063">
                  <w:pPr>
                    <w:jc w:val="both"/>
                    <w:rPr>
                      <w:rFonts w:ascii="GHEA Grapalat" w:hAnsi="GHEA Grapalat"/>
                      <w:b/>
                      <w:bCs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22"/>
                      <w:szCs w:val="22"/>
                      <w:lang w:val="hy-AM"/>
                    </w:rPr>
                    <w:t>Ալավերդի քաղաք</w:t>
                  </w:r>
                </w:p>
                <w:p w14:paraId="17BA98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1. Սանահին Սարահարթ թաղամասի Օսիպյան փողոցի մի մաս (հրապարակից բարձրացող հատված) -</w:t>
                  </w:r>
                </w:p>
                <w:p w14:paraId="6C8B695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3900մ²</w:t>
                  </w:r>
                </w:p>
                <w:p w14:paraId="3B55032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2. Էվոյան փողոց (Էվոյան 1 շենքի բակային հատված և Էվոյան 1 շենքի բակի մուտքից մինչև</w:t>
                  </w:r>
                </w:p>
                <w:p w14:paraId="4765B84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Զորավար Անդրանիկ 38 շենքի հարակից հատված) - 1500մ²</w:t>
                  </w:r>
                </w:p>
                <w:p w14:paraId="245AFA2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3. Սայաթ Նովա 10, Սայաթ Նովա 12, Էվոյան 5 և Էվոյան 7 ԲԲՇ-ների բակեր և Սայաթ-Նովա 10</w:t>
                  </w:r>
                </w:p>
                <w:p w14:paraId="513B376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շենքի բակից Էվոյան 1 շենքի բակ իջնող հատված - 1690 մ²</w:t>
                  </w:r>
                </w:p>
                <w:p w14:paraId="67CA56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4. Սայաթ Նովա 12 ԲԲՇ բակից Զորավար Անդրանիկ տանող աստիճաններ և աստիճանահարթակներ՝</w:t>
                  </w:r>
                </w:p>
                <w:p w14:paraId="5867F02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25մ²</w:t>
                  </w:r>
                </w:p>
                <w:p w14:paraId="2676306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5. Սայաթ Նովա 12 ԲԲՇ բակից Սայաթ նովա հրապարակ իջնող աստիճաններ և</w:t>
                  </w:r>
                </w:p>
                <w:p w14:paraId="1F2C17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աստիճանահարթակներ՝ 15մ²</w:t>
                  </w:r>
                </w:p>
                <w:p w14:paraId="7983887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6. Զորավար Անդրանիկ փողոցից դեպի Էվոյան 5 և 7 ԲԲՇ-ներ իջնող աստիճաններ և</w:t>
                  </w:r>
                </w:p>
                <w:p w14:paraId="46176E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աստիճանահարթակներ – 20մ²</w:t>
                  </w:r>
                </w:p>
                <w:p w14:paraId="0BFA483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7. Սայաթ Նովա 14, 16 և 18 ԲԲՇ բակեր – 3500մ²</w:t>
                  </w:r>
                </w:p>
                <w:p w14:paraId="1BB1F42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8. Սայաթ Նովա 1 ԲԲՇ բակ – 2900մ²</w:t>
                  </w:r>
                </w:p>
                <w:p w14:paraId="14F115A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9. Սայաթ Նովա 2 և 4 ԲԲՇ բակեր - 530մ²</w:t>
                  </w:r>
                </w:p>
                <w:p w14:paraId="0D7B89A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10. Սայաթ Նովա 4 և 5 ԲԲՇ բակեր – 1100մ2</w:t>
                  </w:r>
                </w:p>
                <w:p w14:paraId="226DED95">
                  <w:pPr>
                    <w:jc w:val="both"/>
                    <w:rPr>
                      <w:rFonts w:ascii="GHEA Grapalat" w:hAnsi="GHEA Grapalat"/>
                      <w:b/>
                      <w:bCs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22"/>
                      <w:szCs w:val="22"/>
                      <w:lang w:val="hy-AM"/>
                    </w:rPr>
                    <w:t>Աքորի բնակավայր</w:t>
                  </w:r>
                </w:p>
                <w:p w14:paraId="6E40382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6-րդ փողոց՝ 400մ</w:t>
                  </w:r>
                </w:p>
                <w:p w14:paraId="4313487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7-րդ փողոց՝ 200մ</w:t>
                  </w:r>
                </w:p>
                <w:p w14:paraId="3A5FFD3D">
                  <w:pPr>
                    <w:jc w:val="both"/>
                    <w:rPr>
                      <w:rFonts w:ascii="GHEA Grapalat" w:hAnsi="GHEA Grapalat"/>
                      <w:b/>
                      <w:bCs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22"/>
                      <w:szCs w:val="22"/>
                      <w:lang w:val="hy-AM"/>
                    </w:rPr>
                    <w:t>Ծաղկաշատ բնակավայր</w:t>
                  </w:r>
                </w:p>
                <w:p w14:paraId="7A34C1A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1-ին փողոց 1000 մ</w:t>
                  </w:r>
                </w:p>
                <w:p w14:paraId="3B85F58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22"/>
                      <w:szCs w:val="22"/>
                      <w:lang w:val="hy-AM"/>
                    </w:rPr>
                    <w:t>Ախթալա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sz w:val="22"/>
                      <w:szCs w:val="22"/>
                      <w:lang w:val="hy-AM"/>
                    </w:rPr>
                    <w:t>բնակավայր</w:t>
                  </w:r>
                </w:p>
                <w:p w14:paraId="1D27F69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Բարիտ թաղամաս ԲԲՇ բակ՝ 1000 մ2</w:t>
                  </w:r>
                </w:p>
                <w:p w14:paraId="0B06B78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Առափնյա թաղամաս ԲԲՇ բակ 600մ2</w:t>
                  </w:r>
                </w:p>
                <w:p w14:paraId="2D1F1FFA">
                  <w:pPr>
                    <w:jc w:val="both"/>
                    <w:rPr>
                      <w:rFonts w:ascii="GHEA Grapalat" w:hAnsi="GHEA Grapalat"/>
                      <w:b/>
                      <w:bCs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22"/>
                      <w:szCs w:val="22"/>
                      <w:lang w:val="hy-AM"/>
                    </w:rPr>
                    <w:t>Թեղուտ բնակավայր</w:t>
                  </w:r>
                </w:p>
                <w:p w14:paraId="3D700F9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1-ին փողոց 4-րդ փակուղի 270մ</w:t>
                  </w:r>
                </w:p>
                <w:p w14:paraId="70222B19">
                  <w:pPr>
                    <w:jc w:val="both"/>
                    <w:rPr>
                      <w:rFonts w:ascii="GHEA Grapalat" w:hAnsi="GHEA Grapalat"/>
                      <w:b/>
                      <w:bCs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22"/>
                      <w:szCs w:val="22"/>
                      <w:lang w:val="hy-AM"/>
                    </w:rPr>
                    <w:t>Շնող բնակավայր</w:t>
                  </w:r>
                </w:p>
                <w:p w14:paraId="254BB76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13-րդ փողոց՝ 400մ</w:t>
                  </w:r>
                </w:p>
                <w:p w14:paraId="6FF46C8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0EF5307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6F5154D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1E31AA5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7261398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7D683013">
                  <w:pPr>
                    <w:rPr>
                      <w:rFonts w:ascii="GHEA Grapalat" w:hAnsi="GHEA Grapalat" w:cs="Sylfaen"/>
                      <w:bCs/>
                      <w:sz w:val="20"/>
                      <w:szCs w:val="20"/>
                      <w:u w:val="single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bCs/>
                      <w:sz w:val="20"/>
                      <w:szCs w:val="20"/>
                      <w:u w:val="single"/>
                      <w:lang w:val="hy-AM"/>
                    </w:rPr>
                    <w:t xml:space="preserve">Յուրաքանչյուր փողոցի համար կազմել առանձին </w:t>
                  </w:r>
                </w:p>
                <w:p w14:paraId="16E7D88A">
                  <w:pPr>
                    <w:rPr>
                      <w:rFonts w:ascii="GHEA Grapalat" w:hAnsi="GHEA Grapalat" w:cs="Sylfaen"/>
                      <w:bCs/>
                      <w:color w:val="8497B0" w:themeColor="text2" w:themeTint="99"/>
                      <w:sz w:val="20"/>
                      <w:szCs w:val="20"/>
                      <w:u w:val="single"/>
                      <w:lang w:val="hy-AM"/>
                      <w14:textFill>
                        <w14:solidFill>
                          <w14:schemeClr w14:val="tx2">
                            <w14:lumMod w14:val="60000"/>
                            <w14:lumOff w14:val="40000"/>
                          </w14:schemeClr>
                        </w14:solidFill>
                      </w14:textFill>
                    </w:rPr>
                  </w:pPr>
                  <w:r>
                    <w:rPr>
                      <w:rFonts w:ascii="GHEA Grapalat" w:hAnsi="GHEA Grapalat" w:cs="Sylfaen"/>
                      <w:bCs/>
                      <w:sz w:val="20"/>
                      <w:szCs w:val="20"/>
                      <w:u w:val="single"/>
                      <w:lang w:val="hy-AM"/>
                    </w:rPr>
                    <w:t>Նախագծանախահաշվային փաստաթղթեր</w:t>
                  </w:r>
                </w:p>
              </w:tc>
            </w:tr>
            <w:tr w14:paraId="4616701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35" w:hRule="atLeast"/>
              </w:trPr>
              <w:tc>
                <w:tcPr>
                  <w:tcW w:w="2122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 w14:paraId="3D58573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11773B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BBDE71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3F56B05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BB73F3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001CDE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color="auto" w:sz="4" w:space="0"/>
                    <w:left w:val="single" w:color="auto" w:sz="4" w:space="0"/>
                  </w:tcBorders>
                </w:tcPr>
                <w:p w14:paraId="20448FA7">
                  <w:pPr>
                    <w:pStyle w:val="6"/>
                    <w:numPr>
                      <w:ilvl w:val="0"/>
                      <w:numId w:val="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0147BBC2">
                  <w:pPr>
                    <w:pStyle w:val="6"/>
                    <w:numPr>
                      <w:ilvl w:val="0"/>
                      <w:numId w:val="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37FABCE5">
                  <w:pPr>
                    <w:pStyle w:val="6"/>
                    <w:numPr>
                      <w:ilvl w:val="0"/>
                      <w:numId w:val="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 </w:t>
                  </w:r>
                  <w:r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</w:t>
                  </w:r>
                  <w:r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292D789B">
                  <w:pPr>
                    <w:pStyle w:val="6"/>
                    <w:numPr>
                      <w:ilvl w:val="0"/>
                      <w:numId w:val="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 h =1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2B7357DD">
                  <w:pPr>
                    <w:pStyle w:val="6"/>
                    <w:numPr>
                      <w:ilvl w:val="0"/>
                      <w:numId w:val="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խոշորահատիկ ասֆալտբետոն իրականացում H=6: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8"/>
                      <w:szCs w:val="18"/>
                    </w:rPr>
                    <w:t>համաձայնեցնել պատվիրատուի հետ</w:t>
                  </w:r>
                </w:p>
                <w:p w14:paraId="3FDE6613">
                  <w:pPr>
                    <w:pStyle w:val="6"/>
                    <w:numPr>
                      <w:ilvl w:val="0"/>
                      <w:numId w:val="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մանրահատիկ ասֆալտբետոն իրականացում H=5:</w:t>
                  </w:r>
                </w:p>
                <w:p w14:paraId="51FEAC49">
                  <w:pPr>
                    <w:pStyle w:val="6"/>
                    <w:numPr>
                      <w:ilvl w:val="0"/>
                      <w:numId w:val="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</w:t>
                  </w:r>
                  <w:r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73C7E624">
                  <w:pPr>
                    <w:pStyle w:val="6"/>
                    <w:numPr>
                      <w:ilvl w:val="0"/>
                      <w:numId w:val="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759A7CED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Նախագծի հետ պետք է ներկայացվի նաև երկրաբանական ուսումնասիրության եզրակցություններ:</w:t>
                  </w:r>
                </w:p>
                <w:p w14:paraId="42B77819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Բոլոր  ճանապարհների  հանդիսանում է  քաղաքի և նշված գյուղերի բնակավայրի ներսի համայնքային նշանակության  ճանապարհ:Նախագծման ժամանակ հաշվի առնել ջրահեռացման համակարգի կառուցում, ինչպես նաև նախատեսել գույություն ունեցող մայթերի վերանորոգում անհարժեշտության դեպքում նաև մայթերի կառուցում: Ճանապարհները ունեն թեքություններ  այդ պատճառով բոլոր տարածքներում իրականցնել տեղանքի  հանույթ՝ գեոդեզիա։Իրականացնել ջրահեռացման համակարգի կազմակերպում։</w:t>
                  </w:r>
                </w:p>
                <w:p w14:paraId="35D13BE7">
                  <w:pPr>
                    <w:contextualSpacing/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աշխատանքները իրականացնել առանձին բնակավայրերով: Իսկ բնակավայրերում    ըստ առանձին միավորների /յուրաքանչյուր ճանապարհի համար առանձին նախագիծ նախահաշիվ ծավալաթերթ/: </w:t>
                  </w:r>
                </w:p>
              </w:tc>
              <w:tc>
                <w:tcPr>
                  <w:tcW w:w="301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6F3E7F5">
                  <w:pPr>
                    <w:spacing w:after="160" w:line="259" w:lineRule="auto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14:paraId="7ADF3D2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01" w:type="dxa"/>
                <w:trHeight w:val="602" w:hRule="atLeast"/>
              </w:trPr>
              <w:tc>
                <w:tcPr>
                  <w:tcW w:w="2122" w:type="dxa"/>
                  <w:tcBorders>
                    <w:top w:val="single" w:color="auto" w:sz="4" w:space="0"/>
                  </w:tcBorders>
                </w:tcPr>
                <w:p w14:paraId="65D6937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color="auto" w:sz="4" w:space="0"/>
                  </w:tcBorders>
                </w:tcPr>
                <w:p w14:paraId="729936F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  <w14:textFill>
                        <w14:solidFill>
                          <w14:schemeClr w14:val="tx1"/>
                        </w14:solidFill>
                      </w14:textFill>
                    </w:rPr>
                    <w:t>Ալավերդի</w:t>
                  </w:r>
                  <w:r>
                    <w:rPr>
                      <w:rFonts w:hint="default"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համայնքի </w:t>
                  </w:r>
                  <w:bookmarkStart w:id="0" w:name="_GoBack"/>
                  <w:bookmarkEnd w:id="0"/>
                  <w:r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  <w14:textFill>
                        <w14:solidFill>
                          <w14:schemeClr w14:val="tx1"/>
                        </w14:solidFill>
                      </w14:textFill>
                    </w:rPr>
                    <w:t>Ալավերդի</w:t>
                  </w:r>
                  <w:r>
                    <w:rPr>
                      <w:rFonts w:hint="default"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և Ախթալա </w:t>
                  </w:r>
                  <w:r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  <w14:textFill>
                        <w14:solidFill>
                          <w14:schemeClr w14:val="tx1"/>
                        </w14:solidFill>
                      </w14:textFill>
                    </w:rPr>
                    <w:t>քաղաքների</w:t>
                  </w:r>
                  <w:r>
                    <w:rPr>
                      <w:rFonts w:hint="default"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  <w14:textFill>
                        <w14:solidFill>
                          <w14:schemeClr w14:val="tx1"/>
                        </w14:solidFill>
                      </w14:textFill>
                    </w:rPr>
                    <w:t>, Աքորի, Ծաղկաշատ,</w:t>
                  </w:r>
                  <w:r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Թեղուտ</w:t>
                  </w:r>
                  <w:r>
                    <w:rPr>
                      <w:rFonts w:hint="default"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, Շնող </w:t>
                  </w:r>
                  <w:r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  <w14:textFill>
                        <w14:solidFill>
                          <w14:schemeClr w14:val="tx1"/>
                        </w14:solidFill>
                      </w14:textFill>
                    </w:rPr>
                    <w:t>գյուղերիփողոցներ</w:t>
                  </w:r>
                </w:p>
              </w:tc>
            </w:tr>
            <w:tr w14:paraId="76F88B2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01" w:type="dxa"/>
                <w:trHeight w:val="68" w:hRule="atLeast"/>
              </w:trPr>
              <w:tc>
                <w:tcPr>
                  <w:tcW w:w="2122" w:type="dxa"/>
                </w:tcPr>
                <w:p w14:paraId="613B13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26C11E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14:paraId="194D3C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01" w:type="dxa"/>
                <w:trHeight w:val="167" w:hRule="atLeast"/>
              </w:trPr>
              <w:tc>
                <w:tcPr>
                  <w:tcW w:w="2122" w:type="dxa"/>
                </w:tcPr>
                <w:p w14:paraId="37FF8A7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6170110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234B42C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ներհամայքային, ներբակային ճանապարհ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</w:p>
              </w:tc>
            </w:tr>
            <w:tr w14:paraId="60C8ECC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01" w:type="dxa"/>
                <w:trHeight w:val="167" w:hRule="atLeast"/>
              </w:trPr>
              <w:tc>
                <w:tcPr>
                  <w:tcW w:w="2122" w:type="dxa"/>
                </w:tcPr>
                <w:p w14:paraId="431BEE1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18AB18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14:paraId="30ED081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73016E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2AEBBE3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Գրունտային, տեղ-տեղ քայքայված ասֆալտ</w:t>
                  </w:r>
                </w:p>
              </w:tc>
            </w:tr>
            <w:tr w14:paraId="39BE05E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05C3878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CEF0C77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14:paraId="0CD589F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01" w:type="dxa"/>
                <w:trHeight w:val="569" w:hRule="atLeast"/>
              </w:trPr>
              <w:tc>
                <w:tcPr>
                  <w:tcW w:w="2122" w:type="dxa"/>
                </w:tcPr>
                <w:p w14:paraId="49F52C22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5DF9B831">
                  <w:pPr>
                    <w:pStyle w:val="8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03CDE4F7">
                  <w:pPr>
                    <w:pStyle w:val="8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14:paraId="6F85FCE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6FCC774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2422F25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7A6262B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2B73001F">
                  <w:pPr>
                    <w:pStyle w:val="8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75D86AB8">
                  <w:pPr>
                    <w:pStyle w:val="8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0A82FD4C">
                  <w:pPr>
                    <w:pStyle w:val="8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E3C082D">
                  <w:pPr>
                    <w:pStyle w:val="9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0128FB2">
                  <w:pPr>
                    <w:ind w:firstLine="708"/>
                    <w:jc w:val="both"/>
                    <w:rPr>
                      <w:rFonts w:ascii="GHEA Grapalat" w:hAnsi="GHEA Grapalat" w:eastAsia="Calibri" w:cs="Arial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eastAsia="Calibri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231F8857">
                  <w:pPr>
                    <w:jc w:val="both"/>
                    <w:rPr>
                      <w:rFonts w:ascii="GHEA Grapalat" w:hAnsi="GHEA Grapalat" w:eastAsia="Calibri" w:cs="Arial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eastAsia="Calibri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0BBE41EF">
                  <w:pPr>
                    <w:pStyle w:val="6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eastAsia="Calibri" w:cs="Arial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eastAsia="Calibri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CF41683">
                  <w:pPr>
                    <w:pStyle w:val="6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eastAsia="Calibri" w:cs="Arial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eastAsia="Calibri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B106B4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1FEFFB14">
                  <w:pPr>
                    <w:pStyle w:val="8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47FECE8">
                  <w:pPr>
                    <w:pStyle w:val="8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AB0546D">
                  <w:pPr>
                    <w:pStyle w:val="8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9A3B2C3">
                  <w:pPr>
                    <w:pStyle w:val="8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80DC286">
                  <w:pPr>
                    <w:pStyle w:val="8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2EC66CB">
                  <w:pPr>
                    <w:pStyle w:val="8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52306AF6">
                  <w:pPr>
                    <w:pStyle w:val="8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6844AD1">
                  <w:pPr>
                    <w:pStyle w:val="8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C36F989">
                  <w:pPr>
                    <w:pStyle w:val="8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240FCCCC">
                  <w:pPr>
                    <w:pStyle w:val="6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0D30614A">
                  <w:pPr>
                    <w:pStyle w:val="8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41109A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6CAD4215">
                  <w:pPr>
                    <w:pStyle w:val="8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DCD12B8">
                  <w:pPr>
                    <w:pStyle w:val="9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4F53F6AF">
                  <w:pPr>
                    <w:pStyle w:val="9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632B693F">
                  <w:pPr>
                    <w:pStyle w:val="9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3716F47">
                  <w:pPr>
                    <w:pStyle w:val="9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1C6C506">
                  <w:pPr>
                    <w:pStyle w:val="9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41811C92">
                  <w:pPr>
                    <w:pStyle w:val="9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1131D906">
                  <w:pPr>
                    <w:pStyle w:val="9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05F665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6E5E30F">
                  <w:pPr>
                    <w:pStyle w:val="9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5C448CE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4CDEDE60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ՆԳՆ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D05DBE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4D1C3E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E560581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7310B29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14:paraId="447235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4486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3F7F4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0B9C179F">
                  <w:pPr>
                    <w:pStyle w:val="8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7E42E947">
                  <w:pPr>
                    <w:pStyle w:val="8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67FC43AC">
                  <w:pPr>
                    <w:pStyle w:val="8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53BD197D">
                  <w:pPr>
                    <w:pStyle w:val="8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1887C1DB">
                  <w:pPr>
                    <w:pStyle w:val="8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2B24A230">
                  <w:pPr>
                    <w:pStyle w:val="8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376EC4AF">
                  <w:pPr>
                    <w:pStyle w:val="8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2F7C3EB9">
                  <w:pPr>
                    <w:pStyle w:val="8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 w:eastAsia="Calibri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eastAsia="Calibri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4C7F0E2E">
                  <w:pPr>
                    <w:pStyle w:val="8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 w:eastAsia="Calibri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eastAsia="Calibri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414FE5C9">
                  <w:pPr>
                    <w:pStyle w:val="8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 w:eastAsia="Calibri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eastAsia="Calibri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312F1927">
                  <w:pPr>
                    <w:pStyle w:val="8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 w:eastAsia="Calibri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eastAsia="Calibri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76E4AB6E">
                  <w:pPr>
                    <w:pStyle w:val="8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 w:eastAsia="Calibri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eastAsia="Calibri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26․10․2006 թիվ 1699-Ն որոշումներով սահմանված կարգերի    համաձայն:</w:t>
                  </w:r>
                </w:p>
                <w:p w14:paraId="3D9198FE">
                  <w:pPr>
                    <w:pStyle w:val="8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 w:eastAsia="Calibri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eastAsia="Calibri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5A70FD5">
                  <w:pPr>
                    <w:pStyle w:val="8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eastAsia="Calibri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>
                    <w:rPr>
                      <w:rFonts w:ascii="GHEA Grapalat" w:hAnsi="GHEA Grapalat" w:eastAsia="Calibri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>
                    <w:rPr>
                      <w:rFonts w:ascii="GHEA Grapalat" w:hAnsi="GHEA Grapalat" w:eastAsia="Calibri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342D2F09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14:paraId="2CC89D1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01" w:type="dxa"/>
                <w:trHeight w:val="80" w:hRule="atLeast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76EA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E073E">
                  <w:pPr>
                    <w:pStyle w:val="8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14:paraId="15AB08D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01" w:type="dxa"/>
                <w:trHeight w:val="80" w:hRule="atLeast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DE05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4"/>
                    <w:tblpPr w:leftFromText="180" w:rightFromText="180" w:vertAnchor="text" w:horzAnchor="margin" w:tblpXSpec="center" w:tblpY="50"/>
                    <w:tblOverlap w:val="never"/>
                    <w:tblW w:w="0" w:type="auto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2553"/>
                    <w:gridCol w:w="4768"/>
                  </w:tblGrid>
                  <w:tr w14:paraId="5A60FF49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2553" w:type="dxa"/>
                        <w:shd w:val="clear" w:color="auto" w:fill="D5DCE4"/>
                        <w:vAlign w:val="center"/>
                      </w:tcPr>
                      <w:p w14:paraId="7B13A964">
                        <w:pPr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16"/>
                            <w:szCs w:val="16"/>
                            <w:lang w:val="hy-AM" w:eastAsia="ru-RU"/>
                          </w:rPr>
                          <w:t>Լիցենզավորման ենթակա գործունեության տեսակը</w:t>
                        </w:r>
                      </w:p>
                    </w:tc>
                    <w:tc>
                      <w:tcPr>
                        <w:tcW w:w="4768" w:type="dxa"/>
                        <w:shd w:val="clear" w:color="auto" w:fill="D5DCE4"/>
                        <w:vAlign w:val="center"/>
                      </w:tcPr>
                      <w:p w14:paraId="3C566B59">
                        <w:pPr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16"/>
                            <w:szCs w:val="16"/>
                            <w:lang w:val="hy-AM" w:eastAsia="ru-RU"/>
                          </w:rPr>
                          <w:t>քաղաքաշինական փաստաթղթերի կազմում՝ բացառությամբ կոնստրուկտորական և ճարտարա-պետական մասերի</w:t>
                        </w:r>
                      </w:p>
                    </w:tc>
                  </w:tr>
                  <w:tr w14:paraId="43FE7C79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2553" w:type="dxa"/>
                        <w:vAlign w:val="center"/>
                      </w:tcPr>
                      <w:p w14:paraId="562E7813">
                        <w:pPr>
                          <w:rPr>
                            <w:rFonts w:ascii="GHEA Grapalat" w:hAnsi="GHEA Grapalat"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16"/>
                            <w:szCs w:val="16"/>
                            <w:lang w:val="hy-AM"/>
                          </w:rPr>
                          <w:t>Լիցենզիայի դաս և հավաստագրի կարգ</w:t>
                        </w:r>
                      </w:p>
                    </w:tc>
                    <w:tc>
                      <w:tcPr>
                        <w:tcW w:w="4768" w:type="dxa"/>
                        <w:vAlign w:val="center"/>
                      </w:tcPr>
                      <w:p w14:paraId="4FC14199">
                        <w:pPr>
                          <w:rPr>
                            <w:rFonts w:ascii="GHEA Grapalat" w:hAnsi="GHEA Grapalat"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16"/>
                            <w:szCs w:val="16"/>
                            <w:lang w:val="hy-AM"/>
                          </w:rPr>
                          <w:t>1-ին կամ 2-րդ</w:t>
                        </w:r>
                      </w:p>
                    </w:tc>
                  </w:tr>
                  <w:tr w14:paraId="604E22CC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2553" w:type="dxa"/>
                        <w:vAlign w:val="center"/>
                      </w:tcPr>
                      <w:p w14:paraId="14FA0B65">
                        <w:pPr>
                          <w:rPr>
                            <w:rFonts w:ascii="GHEA Grapalat" w:hAnsi="GHEA Grapalat"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16"/>
                            <w:szCs w:val="16"/>
                            <w:lang w:val="hy-AM"/>
                          </w:rPr>
                          <w:t>Լիցենզիայի ծածկագիրը</w:t>
                        </w:r>
                      </w:p>
                    </w:tc>
                    <w:tc>
                      <w:tcPr>
                        <w:tcW w:w="4768" w:type="dxa"/>
                        <w:vAlign w:val="center"/>
                      </w:tcPr>
                      <w:p w14:paraId="5793E893">
                        <w:pPr>
                          <w:rPr>
                            <w:rFonts w:ascii="GHEA Grapalat" w:hAnsi="GHEA Grapalat"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16"/>
                            <w:szCs w:val="16"/>
                            <w:lang w:val="hy-AM"/>
                          </w:rPr>
                          <w:t>01</w:t>
                        </w:r>
                      </w:p>
                    </w:tc>
                  </w:tr>
                  <w:tr w14:paraId="5FCB3173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2553" w:type="dxa"/>
                        <w:vAlign w:val="center"/>
                      </w:tcPr>
                      <w:p w14:paraId="3099CC52">
                        <w:pPr>
                          <w:rPr>
                            <w:rFonts w:ascii="GHEA Grapalat" w:hAnsi="GHEA Grapalat"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16"/>
                            <w:szCs w:val="16"/>
                            <w:lang w:val="hy-AM"/>
                          </w:rPr>
                          <w:t>Լիցենզիայի անբաժանելի մաս կազմող ներդիրի տեսակ</w:t>
                        </w:r>
                      </w:p>
                    </w:tc>
                    <w:tc>
                      <w:tcPr>
                        <w:tcW w:w="4768" w:type="dxa"/>
                        <w:vAlign w:val="center"/>
                      </w:tcPr>
                      <w:p w14:paraId="0F739296">
                        <w:pPr>
                          <w:rPr>
                            <w:rFonts w:ascii="GHEA Grapalat" w:hAnsi="GHEA Grapalat"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16"/>
                            <w:szCs w:val="16"/>
                            <w:lang w:val="hy-AM"/>
                          </w:rPr>
                          <w:t>Տրանսպորտային ուղիներ (ավտոմոբիլային ճանապարհներ, երկաթուղային գծեր և օդանավակայաններ, արհեստական կառուցվածքներ՝ կամուրջներ, թունելներ, ուղեանցներ, էստակադաներ, հենապատեր և այլն)</w:t>
                        </w:r>
                      </w:p>
                    </w:tc>
                  </w:tr>
                  <w:tr w14:paraId="1B57D1CE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2553" w:type="dxa"/>
                        <w:vAlign w:val="center"/>
                      </w:tcPr>
                      <w:p w14:paraId="1134E205">
                        <w:pPr>
                          <w:rPr>
                            <w:rFonts w:ascii="GHEA Grapalat" w:hAnsi="GHEA Grapalat"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16"/>
                            <w:szCs w:val="16"/>
                            <w:lang w:val="hy-AM"/>
                          </w:rPr>
                          <w:t>Ներդիրի համար</w:t>
                        </w:r>
                      </w:p>
                    </w:tc>
                    <w:tc>
                      <w:tcPr>
                        <w:tcW w:w="4768" w:type="dxa"/>
                        <w:vAlign w:val="center"/>
                      </w:tcPr>
                      <w:p w14:paraId="34CF9A1B">
                        <w:pPr>
                          <w:rPr>
                            <w:rFonts w:ascii="GHEA Grapalat" w:hAnsi="GHEA Grapala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GHEA Grapalat" w:hAnsi="GHEA Grapalat"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</w:tr>
                </w:tbl>
                <w:p w14:paraId="0233BB74">
                  <w:pPr>
                    <w:pStyle w:val="8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14:paraId="59B81EF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01" w:type="dxa"/>
                <w:trHeight w:val="80" w:hRule="atLeast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FB2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A6805">
                  <w:pPr>
                    <w:shd w:val="clear" w:color="auto" w:fill="FFFFFF"/>
                    <w:ind w:left="96" w:hanging="96"/>
                    <w:rPr>
                      <w:rFonts w:ascii="GHEA Grapalat" w:hAnsi="GHEA Grapalat" w:cs="Sylfaen"/>
                      <w:b/>
                      <w:bCs/>
                      <w:sz w:val="20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b/>
                      <w:bCs/>
                      <w:sz w:val="20"/>
                      <w:szCs w:val="16"/>
                      <w:lang w:val="hy-AM"/>
                    </w:rPr>
                    <w:t>Նախագծանախահաշվային փաստաթղթերի կազմման ծառայությունների մատուցման ավարտը` 20 օրացույցային օրից, հաշված պայմանագրով նախատեսված ծառայությունների մեկնարկի օրվանից:</w:t>
                  </w:r>
                </w:p>
                <w:p w14:paraId="64A56F97">
                  <w:pPr>
                    <w:shd w:val="clear" w:color="auto" w:fill="FFFFFF"/>
                    <w:ind w:left="96" w:hanging="96"/>
                    <w:rPr>
                      <w:rFonts w:ascii="GHEA Grapalat" w:hAnsi="GHEA Grapalat" w:cs="Sylfaen"/>
                      <w:b/>
                      <w:sz w:val="20"/>
                      <w:szCs w:val="16"/>
                      <w:u w:val="single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b/>
                      <w:sz w:val="20"/>
                      <w:szCs w:val="16"/>
                      <w:u w:val="single"/>
                      <w:lang w:val="hy-AM"/>
                    </w:rPr>
                    <w:t>ՆԱԽԱԳԾԻ ԼՐԱՄՇԱԿՈՒՄ</w:t>
                  </w:r>
                </w:p>
                <w:p w14:paraId="1D8D8871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16"/>
                      <w:lang w:val="hy-AM"/>
                    </w:rPr>
                    <w:t xml:space="preserve">Ըստ անհրաժեշտության </w:t>
                  </w:r>
                  <w:r>
                    <w:rPr>
                      <w:rFonts w:ascii="GHEA Grapalat" w:hAnsi="GHEA Grapalat" w:cs="Sylfaen"/>
                      <w:i/>
                      <w:sz w:val="20"/>
                      <w:szCs w:val="16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b/>
                      <w:i/>
                      <w:sz w:val="20"/>
                      <w:szCs w:val="16"/>
                      <w:lang w:val="hy-AM"/>
                    </w:rPr>
      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16"/>
                      <w:lang w:val="hy-AM"/>
                    </w:rPr>
                    <w:t>,</w:t>
                  </w:r>
                  <w:r>
                    <w:rPr>
                      <w:rFonts w:ascii="GHEA Grapalat" w:hAnsi="GHEA Grapalat" w:cs="Sylfaen"/>
                      <w:sz w:val="20"/>
                      <w:szCs w:val="16"/>
                      <w:lang w:val="hy-AM"/>
                    </w:rPr>
      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      </w:r>
                </w:p>
              </w:tc>
            </w:tr>
          </w:tbl>
          <w:p w14:paraId="273EF40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8A3A818">
      <w:pPr>
        <w:jc w:val="center"/>
        <w:rPr>
          <w:rFonts w:ascii="GHEA Grapalat" w:hAnsi="GHEA Grapalat"/>
          <w:sz w:val="20"/>
          <w:lang w:val="hy-AM"/>
        </w:rPr>
      </w:pPr>
    </w:p>
    <w:p w14:paraId="4FCFD7B3">
      <w:pPr>
        <w:jc w:val="both"/>
        <w:rPr>
          <w:rFonts w:ascii="GHEA Grapalat" w:hAnsi="GHEA Grapalat"/>
          <w:lang w:val="hy-AM"/>
        </w:rPr>
      </w:pPr>
    </w:p>
    <w:p w14:paraId="3A9A123F">
      <w:pPr>
        <w:jc w:val="both"/>
        <w:rPr>
          <w:rFonts w:ascii="GHEA Grapalat" w:hAnsi="GHEA Grapalat"/>
          <w:lang w:val="hy-AM"/>
        </w:rPr>
      </w:pPr>
    </w:p>
    <w:p w14:paraId="6790D72F">
      <w:pPr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</w:rPr>
        <w:t>Պատասխանատու</w:t>
      </w:r>
      <w:r>
        <w:rPr>
          <w:rFonts w:ascii="GHEA Grapalat" w:hAnsi="GHEA Grapalat" w:cs="GHEA Grapalat"/>
          <w:sz w:val="24"/>
          <w:szCs w:val="24"/>
          <w:lang w:val="ro-RO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ստորաբաժանում</w:t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 xml:space="preserve">          </w:t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 xml:space="preserve">          </w:t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hint="default" w:ascii="GHEA Grapalat" w:hAnsi="GHEA Grapalat" w:eastAsia="Microsoft JhengHei" w:cs="GHEA Grapalat"/>
          <w:sz w:val="24"/>
          <w:szCs w:val="24"/>
          <w:lang w:val="hy-AM"/>
        </w:rPr>
        <w:tab/>
        <w:t/>
      </w:r>
      <w:r>
        <w:rPr>
          <w:rFonts w:hint="default" w:ascii="GHEA Grapalat" w:hAnsi="GHEA Grapalat" w:eastAsia="Microsoft JhengHei" w:cs="GHEA Grapalat"/>
          <w:sz w:val="24"/>
          <w:szCs w:val="24"/>
          <w:lang w:val="hy-AM"/>
        </w:rPr>
        <w:tab/>
        <w:t/>
      </w:r>
      <w:r>
        <w:rPr>
          <w:rFonts w:hint="default"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>Տ</w:t>
      </w:r>
      <w:r>
        <w:rPr>
          <w:rFonts w:hint="default" w:cs="GHEA Grapalat"/>
          <w:sz w:val="24"/>
          <w:szCs w:val="24"/>
          <w:lang w:val="en-US"/>
        </w:rPr>
        <w:t>.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Թամազյան</w:t>
      </w:r>
    </w:p>
    <w:p w14:paraId="1CF5EE00">
      <w:pPr>
        <w:rPr>
          <w:rFonts w:ascii="GHEA Grapalat" w:hAnsi="GHEA Grapalat" w:cs="GHEA Grapalat"/>
          <w:sz w:val="24"/>
          <w:szCs w:val="24"/>
          <w:lang w:val="hy-AM"/>
        </w:rPr>
      </w:pPr>
    </w:p>
    <w:p w14:paraId="48377012">
      <w:pPr>
        <w:ind w:left="6372" w:firstLine="708"/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>Գ</w:t>
      </w:r>
      <w:r>
        <w:rPr>
          <w:rFonts w:hint="default" w:cs="GHEA Grapalat"/>
          <w:sz w:val="24"/>
          <w:szCs w:val="24"/>
          <w:lang w:val="en-US"/>
        </w:rPr>
        <w:t>.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Խալաթյան</w:t>
      </w:r>
    </w:p>
    <w:p w14:paraId="07349C0A">
      <w:pPr>
        <w:ind w:left="6372" w:firstLine="708"/>
        <w:rPr>
          <w:rFonts w:ascii="GHEA Grapalat" w:hAnsi="GHEA Grapalat" w:cs="GHEA Grapalat"/>
          <w:sz w:val="24"/>
          <w:szCs w:val="24"/>
          <w:lang w:val="hy-AM"/>
        </w:rPr>
      </w:pPr>
    </w:p>
    <w:p w14:paraId="1957237D">
      <w:pPr>
        <w:ind w:left="6372" w:firstLine="708"/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>Հ</w:t>
      </w:r>
      <w:r>
        <w:rPr>
          <w:rFonts w:hint="default" w:cs="GHEA Grapalat"/>
          <w:sz w:val="24"/>
          <w:szCs w:val="24"/>
          <w:lang w:val="en-US"/>
        </w:rPr>
        <w:t>.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Գալստյան</w:t>
      </w:r>
    </w:p>
    <w:p w14:paraId="699C157F">
      <w:pPr>
        <w:ind w:left="6372" w:firstLine="708"/>
        <w:rPr>
          <w:rFonts w:ascii="GHEA Grapalat" w:hAnsi="GHEA Grapalat" w:cs="GHEA Grapalat"/>
          <w:sz w:val="24"/>
          <w:szCs w:val="24"/>
          <w:lang w:val="hy-AM"/>
        </w:rPr>
      </w:pPr>
    </w:p>
    <w:p w14:paraId="37ED6DB2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  <w:r>
        <w:rPr>
          <w:rFonts w:ascii="GHEA Grapalat" w:hAnsi="GHEA Grapalat" w:eastAsia="Microsoft JhengHei" w:cs="GHEA Grapalat"/>
          <w:sz w:val="24"/>
          <w:szCs w:val="24"/>
          <w:lang w:val="hy-AM"/>
        </w:rPr>
        <w:t>Ս</w:t>
      </w:r>
      <w:r>
        <w:rPr>
          <w:rFonts w:hint="default" w:eastAsia="Microsoft JhengHei" w:cs="GHEA Grapalat"/>
          <w:sz w:val="24"/>
          <w:szCs w:val="24"/>
          <w:lang w:val="en-US"/>
        </w:rPr>
        <w:t>.</w:t>
      </w:r>
      <w:r>
        <w:rPr>
          <w:rFonts w:ascii="GHEA Grapalat" w:hAnsi="GHEA Grapalat" w:eastAsia="Microsoft YaHei" w:cs="GHEA Grapalat"/>
          <w:sz w:val="24"/>
          <w:szCs w:val="24"/>
          <w:lang w:val="ro-RO"/>
        </w:rPr>
        <w:t xml:space="preserve"> </w:t>
      </w:r>
      <w:r>
        <w:rPr>
          <w:rFonts w:ascii="GHEA Grapalat" w:hAnsi="GHEA Grapalat" w:eastAsia="Microsoft YaHei" w:cs="GHEA Grapalat"/>
          <w:sz w:val="24"/>
          <w:szCs w:val="24"/>
          <w:lang w:val="hy-AM"/>
        </w:rPr>
        <w:t>Թորոսյան</w:t>
      </w:r>
    </w:p>
    <w:p w14:paraId="50F1CF82">
      <w:pPr>
        <w:jc w:val="both"/>
        <w:rPr>
          <w:rFonts w:ascii="GHEA Grapalat" w:hAnsi="GHEA Grapalat"/>
          <w:lang w:val="hy-AM"/>
        </w:rPr>
      </w:pPr>
    </w:p>
    <w:sectPr>
      <w:pgSz w:w="11906" w:h="16838"/>
      <w:pgMar w:top="426" w:right="851" w:bottom="426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Arial AM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LatRus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AM"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C73E65"/>
    <w:multiLevelType w:val="multilevel"/>
    <w:tmpl w:val="09C73E65"/>
    <w:lvl w:ilvl="0" w:tentative="0">
      <w:start w:val="1"/>
      <w:numFmt w:val="bullet"/>
      <w:lvlText w:val=""/>
      <w:lvlJc w:val="left"/>
      <w:pPr>
        <w:tabs>
          <w:tab w:val="left" w:pos="36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A302DEB"/>
    <w:multiLevelType w:val="multilevel"/>
    <w:tmpl w:val="2A302DEB"/>
    <w:lvl w:ilvl="0" w:tentative="0">
      <w:start w:val="1"/>
      <w:numFmt w:val="bullet"/>
      <w:lvlText w:val=""/>
      <w:lvlJc w:val="left"/>
      <w:pPr>
        <w:ind w:left="1070" w:hanging="360"/>
      </w:pPr>
      <w:rPr>
        <w:rFonts w:hint="default" w:ascii="Symbol" w:hAnsi="Symbol"/>
      </w:rPr>
    </w:lvl>
    <w:lvl w:ilvl="1" w:tentative="0">
      <w:start w:val="1"/>
      <w:numFmt w:val="lowerLetter"/>
      <w:lvlText w:val="%2."/>
      <w:lvlJc w:val="left"/>
      <w:pPr>
        <w:ind w:left="1790" w:hanging="360"/>
      </w:pPr>
    </w:lvl>
    <w:lvl w:ilvl="2" w:tentative="0">
      <w:start w:val="1"/>
      <w:numFmt w:val="lowerRoman"/>
      <w:lvlText w:val="%3."/>
      <w:lvlJc w:val="right"/>
      <w:pPr>
        <w:ind w:left="2510" w:hanging="180"/>
      </w:pPr>
    </w:lvl>
    <w:lvl w:ilvl="3" w:tentative="0">
      <w:start w:val="1"/>
      <w:numFmt w:val="decimal"/>
      <w:lvlText w:val="%4."/>
      <w:lvlJc w:val="left"/>
      <w:pPr>
        <w:ind w:left="3230" w:hanging="360"/>
      </w:pPr>
    </w:lvl>
    <w:lvl w:ilvl="4" w:tentative="0">
      <w:start w:val="1"/>
      <w:numFmt w:val="lowerLetter"/>
      <w:lvlText w:val="%5."/>
      <w:lvlJc w:val="left"/>
      <w:pPr>
        <w:ind w:left="3950" w:hanging="360"/>
      </w:pPr>
    </w:lvl>
    <w:lvl w:ilvl="5" w:tentative="0">
      <w:start w:val="1"/>
      <w:numFmt w:val="lowerRoman"/>
      <w:lvlText w:val="%6."/>
      <w:lvlJc w:val="right"/>
      <w:pPr>
        <w:ind w:left="4670" w:hanging="180"/>
      </w:pPr>
    </w:lvl>
    <w:lvl w:ilvl="6" w:tentative="0">
      <w:start w:val="1"/>
      <w:numFmt w:val="decimal"/>
      <w:lvlText w:val="%7."/>
      <w:lvlJc w:val="left"/>
      <w:pPr>
        <w:ind w:left="5390" w:hanging="360"/>
      </w:pPr>
    </w:lvl>
    <w:lvl w:ilvl="7" w:tentative="0">
      <w:start w:val="1"/>
      <w:numFmt w:val="lowerLetter"/>
      <w:lvlText w:val="%8."/>
      <w:lvlJc w:val="left"/>
      <w:pPr>
        <w:ind w:left="6110" w:hanging="360"/>
      </w:pPr>
    </w:lvl>
    <w:lvl w:ilvl="8" w:tentative="0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37B78CB"/>
    <w:multiLevelType w:val="multilevel"/>
    <w:tmpl w:val="437B78C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48360240"/>
    <w:multiLevelType w:val="multilevel"/>
    <w:tmpl w:val="4836024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hideSpellingErrors/>
  <w:hideGrammaticalErrors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40"/>
    <w:rsid w:val="00035186"/>
    <w:rsid w:val="00035970"/>
    <w:rsid w:val="0005209D"/>
    <w:rsid w:val="00061630"/>
    <w:rsid w:val="00064291"/>
    <w:rsid w:val="00065FC7"/>
    <w:rsid w:val="00067FBB"/>
    <w:rsid w:val="00073FAD"/>
    <w:rsid w:val="00081DC2"/>
    <w:rsid w:val="0009012B"/>
    <w:rsid w:val="000970F2"/>
    <w:rsid w:val="000A4D17"/>
    <w:rsid w:val="000A634A"/>
    <w:rsid w:val="000B4126"/>
    <w:rsid w:val="000E19BD"/>
    <w:rsid w:val="000E2BE5"/>
    <w:rsid w:val="000F32B0"/>
    <w:rsid w:val="00101B6A"/>
    <w:rsid w:val="00110774"/>
    <w:rsid w:val="001502A6"/>
    <w:rsid w:val="001502C5"/>
    <w:rsid w:val="00150DA4"/>
    <w:rsid w:val="0015449C"/>
    <w:rsid w:val="00173779"/>
    <w:rsid w:val="001C19E6"/>
    <w:rsid w:val="001F3EC0"/>
    <w:rsid w:val="001F40DC"/>
    <w:rsid w:val="002030F4"/>
    <w:rsid w:val="002107D9"/>
    <w:rsid w:val="002350D4"/>
    <w:rsid w:val="00235478"/>
    <w:rsid w:val="00252383"/>
    <w:rsid w:val="0025555A"/>
    <w:rsid w:val="00256F1B"/>
    <w:rsid w:val="00260569"/>
    <w:rsid w:val="002619A6"/>
    <w:rsid w:val="00283CD7"/>
    <w:rsid w:val="002C10D7"/>
    <w:rsid w:val="002D4912"/>
    <w:rsid w:val="002E02F5"/>
    <w:rsid w:val="002E286A"/>
    <w:rsid w:val="00310E0F"/>
    <w:rsid w:val="0037689A"/>
    <w:rsid w:val="00381C25"/>
    <w:rsid w:val="00384960"/>
    <w:rsid w:val="00392919"/>
    <w:rsid w:val="003A7BAA"/>
    <w:rsid w:val="003B5C50"/>
    <w:rsid w:val="003C10C8"/>
    <w:rsid w:val="00421189"/>
    <w:rsid w:val="00441632"/>
    <w:rsid w:val="0047075D"/>
    <w:rsid w:val="00475ED7"/>
    <w:rsid w:val="00495C80"/>
    <w:rsid w:val="00496091"/>
    <w:rsid w:val="004C45B2"/>
    <w:rsid w:val="004E53C6"/>
    <w:rsid w:val="004E5763"/>
    <w:rsid w:val="004F0889"/>
    <w:rsid w:val="004F3661"/>
    <w:rsid w:val="00503475"/>
    <w:rsid w:val="005067B2"/>
    <w:rsid w:val="00506B85"/>
    <w:rsid w:val="005130E2"/>
    <w:rsid w:val="00513B24"/>
    <w:rsid w:val="00517948"/>
    <w:rsid w:val="00536D85"/>
    <w:rsid w:val="005376B9"/>
    <w:rsid w:val="00543B95"/>
    <w:rsid w:val="00547E88"/>
    <w:rsid w:val="0056221D"/>
    <w:rsid w:val="00577857"/>
    <w:rsid w:val="00597CD4"/>
    <w:rsid w:val="005A5D90"/>
    <w:rsid w:val="005B296C"/>
    <w:rsid w:val="005B61EB"/>
    <w:rsid w:val="005F2EE7"/>
    <w:rsid w:val="00631B6B"/>
    <w:rsid w:val="00641253"/>
    <w:rsid w:val="00643479"/>
    <w:rsid w:val="0065622D"/>
    <w:rsid w:val="00656761"/>
    <w:rsid w:val="006841DD"/>
    <w:rsid w:val="006A5F64"/>
    <w:rsid w:val="006A67B1"/>
    <w:rsid w:val="006B133A"/>
    <w:rsid w:val="006C0B77"/>
    <w:rsid w:val="006D5BC5"/>
    <w:rsid w:val="00702C5E"/>
    <w:rsid w:val="00707938"/>
    <w:rsid w:val="00716EDD"/>
    <w:rsid w:val="007275A7"/>
    <w:rsid w:val="00733EBA"/>
    <w:rsid w:val="007435EF"/>
    <w:rsid w:val="007616DD"/>
    <w:rsid w:val="00765A93"/>
    <w:rsid w:val="00785620"/>
    <w:rsid w:val="0079500F"/>
    <w:rsid w:val="00795CB3"/>
    <w:rsid w:val="007A1736"/>
    <w:rsid w:val="007A370D"/>
    <w:rsid w:val="008242FF"/>
    <w:rsid w:val="0082550A"/>
    <w:rsid w:val="00826EFC"/>
    <w:rsid w:val="00841BA4"/>
    <w:rsid w:val="008570D4"/>
    <w:rsid w:val="00860F6B"/>
    <w:rsid w:val="00865891"/>
    <w:rsid w:val="0086785F"/>
    <w:rsid w:val="00870751"/>
    <w:rsid w:val="00876853"/>
    <w:rsid w:val="008857EA"/>
    <w:rsid w:val="0088585F"/>
    <w:rsid w:val="00897AD4"/>
    <w:rsid w:val="008A231E"/>
    <w:rsid w:val="008A65D2"/>
    <w:rsid w:val="008B76F3"/>
    <w:rsid w:val="008B7CE0"/>
    <w:rsid w:val="008D713E"/>
    <w:rsid w:val="008D7FFA"/>
    <w:rsid w:val="00922C48"/>
    <w:rsid w:val="00934954"/>
    <w:rsid w:val="0096278A"/>
    <w:rsid w:val="00964BB1"/>
    <w:rsid w:val="00965E6C"/>
    <w:rsid w:val="00982E2F"/>
    <w:rsid w:val="0098417C"/>
    <w:rsid w:val="00984C62"/>
    <w:rsid w:val="00996E9A"/>
    <w:rsid w:val="009A05FD"/>
    <w:rsid w:val="009A34EC"/>
    <w:rsid w:val="009B4CB9"/>
    <w:rsid w:val="009C74CB"/>
    <w:rsid w:val="009E0CA6"/>
    <w:rsid w:val="009E0F8B"/>
    <w:rsid w:val="009F1E93"/>
    <w:rsid w:val="009F308E"/>
    <w:rsid w:val="00A13468"/>
    <w:rsid w:val="00A14214"/>
    <w:rsid w:val="00A47008"/>
    <w:rsid w:val="00A63C0E"/>
    <w:rsid w:val="00A733A4"/>
    <w:rsid w:val="00A97EBE"/>
    <w:rsid w:val="00AB290F"/>
    <w:rsid w:val="00AC34FC"/>
    <w:rsid w:val="00AD2BD9"/>
    <w:rsid w:val="00AD77E9"/>
    <w:rsid w:val="00AE13C3"/>
    <w:rsid w:val="00AE6D80"/>
    <w:rsid w:val="00B0281A"/>
    <w:rsid w:val="00B06293"/>
    <w:rsid w:val="00B067A7"/>
    <w:rsid w:val="00B20B7C"/>
    <w:rsid w:val="00B26A38"/>
    <w:rsid w:val="00B2774D"/>
    <w:rsid w:val="00B47551"/>
    <w:rsid w:val="00B618B6"/>
    <w:rsid w:val="00B70B96"/>
    <w:rsid w:val="00B84F24"/>
    <w:rsid w:val="00B915B7"/>
    <w:rsid w:val="00BB2517"/>
    <w:rsid w:val="00BB4AFD"/>
    <w:rsid w:val="00BD1DC6"/>
    <w:rsid w:val="00BE12BA"/>
    <w:rsid w:val="00C1576C"/>
    <w:rsid w:val="00C157CA"/>
    <w:rsid w:val="00C41FA4"/>
    <w:rsid w:val="00C63B7C"/>
    <w:rsid w:val="00C707A3"/>
    <w:rsid w:val="00C75C2B"/>
    <w:rsid w:val="00C91F74"/>
    <w:rsid w:val="00C95C68"/>
    <w:rsid w:val="00CB0D90"/>
    <w:rsid w:val="00CB73F0"/>
    <w:rsid w:val="00CE1FA5"/>
    <w:rsid w:val="00CE6673"/>
    <w:rsid w:val="00D02F8E"/>
    <w:rsid w:val="00D05BB9"/>
    <w:rsid w:val="00D32F86"/>
    <w:rsid w:val="00D61C5A"/>
    <w:rsid w:val="00D7402A"/>
    <w:rsid w:val="00D77496"/>
    <w:rsid w:val="00DA5703"/>
    <w:rsid w:val="00DC3FDE"/>
    <w:rsid w:val="00DC6ED3"/>
    <w:rsid w:val="00E0376D"/>
    <w:rsid w:val="00E10F4B"/>
    <w:rsid w:val="00E17A81"/>
    <w:rsid w:val="00E3148B"/>
    <w:rsid w:val="00E52CE5"/>
    <w:rsid w:val="00E62140"/>
    <w:rsid w:val="00E63D97"/>
    <w:rsid w:val="00E75289"/>
    <w:rsid w:val="00EA579C"/>
    <w:rsid w:val="00EA59DF"/>
    <w:rsid w:val="00EC668D"/>
    <w:rsid w:val="00EE238A"/>
    <w:rsid w:val="00EE4070"/>
    <w:rsid w:val="00EE50F4"/>
    <w:rsid w:val="00F12C76"/>
    <w:rsid w:val="00F136FD"/>
    <w:rsid w:val="00F4022A"/>
    <w:rsid w:val="00F41A89"/>
    <w:rsid w:val="00F43CF5"/>
    <w:rsid w:val="00F4524C"/>
    <w:rsid w:val="00F7287E"/>
    <w:rsid w:val="00F854CB"/>
    <w:rsid w:val="00F96782"/>
    <w:rsid w:val="00FE5146"/>
    <w:rsid w:val="00FF1291"/>
    <w:rsid w:val="00FF282F"/>
    <w:rsid w:val="465719A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1"/>
    <w:qFormat/>
    <w:uiPriority w:val="99"/>
    <w:pPr>
      <w:keepNext/>
      <w:tabs>
        <w:tab w:val="left" w:pos="7438"/>
      </w:tabs>
      <w:jc w:val="center"/>
      <w:outlineLvl w:val="1"/>
    </w:pPr>
    <w:rPr>
      <w:rFonts w:ascii="Arial LatRus" w:hAnsi="Arial LatRus" w:cs="Arial LatRus"/>
      <w:sz w:val="30"/>
      <w:szCs w:val="30"/>
      <w:lang w:val="en-GB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0"/>
    <w:semiHidden/>
    <w:unhideWhenUsed/>
    <w:uiPriority w:val="99"/>
    <w:rPr>
      <w:rFonts w:ascii="Segoe UI" w:hAnsi="Segoe UI" w:cs="Segoe UI"/>
      <w:sz w:val="18"/>
      <w:szCs w:val="18"/>
    </w:rPr>
  </w:style>
  <w:style w:type="paragraph" w:styleId="6">
    <w:name w:val="List Paragraph"/>
    <w:basedOn w:val="1"/>
    <w:link w:val="7"/>
    <w:qFormat/>
    <w:uiPriority w:val="99"/>
    <w:pPr>
      <w:ind w:left="720"/>
    </w:pPr>
    <w:rPr>
      <w:rFonts w:ascii="Times Armenian" w:hAnsi="Times Armenian"/>
      <w:lang w:eastAsia="ru-RU"/>
    </w:rPr>
  </w:style>
  <w:style w:type="character" w:customStyle="1" w:styleId="7">
    <w:name w:val="List Paragraph Char"/>
    <w:link w:val="6"/>
    <w:qFormat/>
    <w:locked/>
    <w:uiPriority w:val="99"/>
    <w:rPr>
      <w:rFonts w:ascii="Times Armenian" w:hAnsi="Times Armenian" w:eastAsia="Times New Roman" w:cs="Times New Roman"/>
      <w:sz w:val="24"/>
      <w:szCs w:val="24"/>
      <w:lang w:eastAsia="ru-RU"/>
    </w:rPr>
  </w:style>
  <w:style w:type="paragraph" w:customStyle="1" w:styleId="8">
    <w:name w:val="List Paragraph1"/>
    <w:basedOn w:val="1"/>
    <w:qFormat/>
    <w:uiPriority w:val="0"/>
    <w:pPr>
      <w:ind w:left="720"/>
      <w:contextualSpacing/>
    </w:pPr>
  </w:style>
  <w:style w:type="paragraph" w:customStyle="1" w:styleId="9">
    <w:name w:val="List Paragraph2"/>
    <w:basedOn w:val="1"/>
    <w:uiPriority w:val="0"/>
    <w:pPr>
      <w:ind w:left="720"/>
      <w:contextualSpacing/>
    </w:pPr>
    <w:rPr>
      <w:rFonts w:eastAsia="Calibri"/>
    </w:rPr>
  </w:style>
  <w:style w:type="character" w:customStyle="1" w:styleId="10">
    <w:name w:val="Balloon Text Char"/>
    <w:basedOn w:val="3"/>
    <w:link w:val="5"/>
    <w:semiHidden/>
    <w:uiPriority w:val="99"/>
    <w:rPr>
      <w:rFonts w:ascii="Segoe UI" w:hAnsi="Segoe UI" w:eastAsia="Times New Roman" w:cs="Segoe UI"/>
      <w:sz w:val="18"/>
      <w:szCs w:val="18"/>
      <w:lang w:val="en-US"/>
    </w:rPr>
  </w:style>
  <w:style w:type="character" w:customStyle="1" w:styleId="11">
    <w:name w:val="Heading 2 Char"/>
    <w:basedOn w:val="3"/>
    <w:link w:val="2"/>
    <w:uiPriority w:val="99"/>
    <w:rPr>
      <w:rFonts w:ascii="Arial LatRus" w:hAnsi="Arial LatRus" w:eastAsia="Times New Roman" w:cs="Arial LatRus"/>
      <w:sz w:val="30"/>
      <w:szCs w:val="3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682EA-3CB0-46D6-AB05-5EF428E55A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1930</Words>
  <Characters>11006</Characters>
  <Lines>91</Lines>
  <Paragraphs>25</Paragraphs>
  <TotalTime>3</TotalTime>
  <ScaleCrop>false</ScaleCrop>
  <LinksUpToDate>false</LinksUpToDate>
  <CharactersWithSpaces>12911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2025-10-21T12:45:00Z</dcterms:created>
  <dc:creator>Пользователь</dc:creator>
  <cp:lastModifiedBy>Alaverdi Municipality</cp:lastModifiedBy>
  <cp:lastPrinted>2025-12-12T13:19:59Z</cp:lastPrinted>
  <dcterms:modified xsi:type="dcterms:W3CDTF">2025-12-12T13:20:06Z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24DA77F7D1E24B6E98DB351855D87E49_12</vt:lpwstr>
  </property>
</Properties>
</file>